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F22B" w14:textId="3278804B" w:rsidR="00206F58" w:rsidRPr="00206F58" w:rsidRDefault="00206F58" w:rsidP="00206F58">
      <w:pPr>
        <w:jc w:val="center"/>
        <w:rPr>
          <w:rFonts w:ascii="Times New Roman" w:hAnsi="Times New Roman" w:cs="Times New Roman"/>
          <w:b/>
          <w:bCs/>
        </w:rPr>
      </w:pPr>
      <w:r w:rsidRPr="00206F58">
        <w:rPr>
          <w:rFonts w:ascii="Times New Roman" w:hAnsi="Times New Roman" w:cs="Times New Roman"/>
          <w:b/>
          <w:bCs/>
        </w:rPr>
        <w:t>Vocabulaire juridique</w:t>
      </w:r>
    </w:p>
    <w:p w14:paraId="5210A9E9" w14:textId="77777777" w:rsidR="00206F58" w:rsidRDefault="00206F58" w:rsidP="00206F58">
      <w:pPr>
        <w:rPr>
          <w:rFonts w:ascii="Times New Roman" w:hAnsi="Times New Roman" w:cs="Times New Roman"/>
          <w:b/>
          <w:bCs/>
          <w:u w:val="single"/>
        </w:rPr>
      </w:pPr>
    </w:p>
    <w:p w14:paraId="57681FDE" w14:textId="3ACC7E28" w:rsidR="00206F58" w:rsidRPr="00206F58" w:rsidRDefault="00206F58" w:rsidP="00206F58">
      <w:pPr>
        <w:rPr>
          <w:rFonts w:ascii="Times New Roman" w:hAnsi="Times New Roman" w:cs="Times New Roman"/>
          <w:u w:val="single"/>
        </w:rPr>
      </w:pPr>
      <w:r w:rsidRPr="00206F58">
        <w:rPr>
          <w:rFonts w:ascii="Times New Roman" w:hAnsi="Times New Roman" w:cs="Times New Roman"/>
          <w:u w:val="single"/>
        </w:rPr>
        <w:t xml:space="preserve">Lisez l’arrêt et la fiche d’arrêt. Expliquez pourquoi les termes surlignés ne sont pas appropriés et proposez d’autres expressions qui vous semblent plus appropriés. </w:t>
      </w:r>
    </w:p>
    <w:p w14:paraId="65FA54B8" w14:textId="77777777" w:rsidR="00206F58" w:rsidRPr="00206F58" w:rsidRDefault="00206F58" w:rsidP="00206F58">
      <w:pPr>
        <w:spacing w:line="276" w:lineRule="auto"/>
        <w:jc w:val="both"/>
        <w:rPr>
          <w:rFonts w:ascii="Times New Roman" w:hAnsi="Times New Roman" w:cs="Times New Roman"/>
          <w:highlight w:val="yellow"/>
        </w:rPr>
      </w:pPr>
    </w:p>
    <w:p w14:paraId="3B2A0E01" w14:textId="77777777" w:rsidR="00206F58" w:rsidRPr="00206F58" w:rsidRDefault="00206F58" w:rsidP="00206F58">
      <w:pPr>
        <w:spacing w:line="276" w:lineRule="auto"/>
        <w:jc w:val="both"/>
        <w:rPr>
          <w:rFonts w:ascii="Times New Roman" w:hAnsi="Times New Roman" w:cs="Times New Roman"/>
          <w:highlight w:val="yellow"/>
        </w:rPr>
      </w:pPr>
    </w:p>
    <w:p w14:paraId="72E992D5" w14:textId="19E32C60" w:rsidR="00206F58" w:rsidRDefault="00206F58" w:rsidP="00206F58">
      <w:pPr>
        <w:spacing w:line="276" w:lineRule="auto"/>
        <w:jc w:val="both"/>
        <w:rPr>
          <w:rFonts w:ascii="Times New Roman" w:hAnsi="Times New Roman" w:cs="Times New Roman"/>
        </w:rPr>
      </w:pPr>
      <w:r w:rsidRPr="000D142B">
        <w:rPr>
          <w:rFonts w:ascii="Times New Roman" w:hAnsi="Times New Roman" w:cs="Times New Roman"/>
          <w:highlight w:val="yellow"/>
        </w:rPr>
        <w:t>Dans l’arrêt étudié</w:t>
      </w:r>
      <w:r>
        <w:rPr>
          <w:rFonts w:ascii="Times New Roman" w:hAnsi="Times New Roman" w:cs="Times New Roman"/>
        </w:rPr>
        <w:t xml:space="preserve">, il s’agit d’une victime qui </w:t>
      </w:r>
      <w:r w:rsidRPr="00CA6FA0">
        <w:rPr>
          <w:rFonts w:ascii="Times New Roman" w:hAnsi="Times New Roman" w:cs="Times New Roman"/>
        </w:rPr>
        <w:t xml:space="preserve">dénonce plusieurs scènes de violences dont l’une ayant eu lieu le 2 juillet 2010. Après avoir </w:t>
      </w:r>
      <w:r>
        <w:rPr>
          <w:rFonts w:ascii="Times New Roman" w:hAnsi="Times New Roman" w:cs="Times New Roman"/>
        </w:rPr>
        <w:t xml:space="preserve">donné </w:t>
      </w:r>
      <w:r w:rsidRPr="000D142B">
        <w:rPr>
          <w:rFonts w:ascii="Times New Roman" w:hAnsi="Times New Roman" w:cs="Times New Roman"/>
          <w:highlight w:val="yellow"/>
        </w:rPr>
        <w:t>pleins de coups,</w:t>
      </w:r>
      <w:r>
        <w:rPr>
          <w:rFonts w:ascii="Times New Roman" w:hAnsi="Times New Roman" w:cs="Times New Roman"/>
        </w:rPr>
        <w:t xml:space="preserve"> </w:t>
      </w:r>
      <w:r w:rsidRPr="008B46E5">
        <w:rPr>
          <w:rFonts w:ascii="Times New Roman" w:hAnsi="Times New Roman" w:cs="Times New Roman"/>
          <w:highlight w:val="yellow"/>
        </w:rPr>
        <w:t>le coupable</w:t>
      </w:r>
      <w:r>
        <w:rPr>
          <w:rFonts w:ascii="Times New Roman" w:hAnsi="Times New Roman" w:cs="Times New Roman"/>
        </w:rPr>
        <w:t xml:space="preserve"> </w:t>
      </w:r>
      <w:r w:rsidRPr="00CA6FA0">
        <w:rPr>
          <w:rFonts w:ascii="Times New Roman" w:hAnsi="Times New Roman" w:cs="Times New Roman"/>
        </w:rPr>
        <w:t>a</w:t>
      </w:r>
      <w:r>
        <w:rPr>
          <w:rFonts w:ascii="Times New Roman" w:hAnsi="Times New Roman" w:cs="Times New Roman"/>
        </w:rPr>
        <w:t xml:space="preserve"> lancé de l’alcool à brûler sur sa femme. Il s’y est </w:t>
      </w:r>
      <w:r w:rsidRPr="00CA6FA0">
        <w:rPr>
          <w:rFonts w:ascii="Times New Roman" w:hAnsi="Times New Roman" w:cs="Times New Roman"/>
        </w:rPr>
        <w:t xml:space="preserve">repris à deux fois pour allumer briquet, le premier ne fonctionnant pas. Il a ensuite approché la flemme de la victime qui a pris feu. Après l’avoir regardé se débattre, </w:t>
      </w:r>
      <w:r w:rsidRPr="008B46E5">
        <w:rPr>
          <w:rFonts w:ascii="Times New Roman" w:hAnsi="Times New Roman" w:cs="Times New Roman"/>
          <w:highlight w:val="yellow"/>
        </w:rPr>
        <w:t>le coupable</w:t>
      </w:r>
      <w:r>
        <w:rPr>
          <w:rFonts w:ascii="Times New Roman" w:hAnsi="Times New Roman" w:cs="Times New Roman"/>
        </w:rPr>
        <w:t xml:space="preserve"> </w:t>
      </w:r>
      <w:r w:rsidRPr="00CA6FA0">
        <w:rPr>
          <w:rFonts w:ascii="Times New Roman" w:hAnsi="Times New Roman" w:cs="Times New Roman"/>
        </w:rPr>
        <w:t xml:space="preserve">a enlevé le pyjama de sa compagne en lui faisant promettre de ne pas appeler les secours et de pas le dénoncer. </w:t>
      </w:r>
      <w:r w:rsidRPr="000D142B">
        <w:rPr>
          <w:rFonts w:ascii="Times New Roman" w:hAnsi="Times New Roman" w:cs="Times New Roman"/>
          <w:highlight w:val="yellow"/>
        </w:rPr>
        <w:t>Du coup,</w:t>
      </w:r>
      <w:r>
        <w:rPr>
          <w:rFonts w:ascii="Times New Roman" w:hAnsi="Times New Roman" w:cs="Times New Roman"/>
        </w:rPr>
        <w:t xml:space="preserve"> i</w:t>
      </w:r>
      <w:r w:rsidRPr="00CA6FA0">
        <w:rPr>
          <w:rFonts w:ascii="Times New Roman" w:hAnsi="Times New Roman" w:cs="Times New Roman"/>
        </w:rPr>
        <w:t xml:space="preserve">l appelle les secours. </w:t>
      </w:r>
    </w:p>
    <w:p w14:paraId="05B2E819" w14:textId="77777777" w:rsidR="00206F58" w:rsidRDefault="00206F58" w:rsidP="00206F58">
      <w:pPr>
        <w:spacing w:line="276" w:lineRule="auto"/>
        <w:jc w:val="both"/>
        <w:rPr>
          <w:rFonts w:ascii="Times New Roman" w:hAnsi="Times New Roman" w:cs="Times New Roman"/>
        </w:rPr>
      </w:pPr>
    </w:p>
    <w:p w14:paraId="3B7EBE28" w14:textId="77777777" w:rsidR="00206F58" w:rsidRPr="00CA6FA0" w:rsidRDefault="00206F58" w:rsidP="00206F58">
      <w:pPr>
        <w:spacing w:line="276" w:lineRule="auto"/>
        <w:jc w:val="both"/>
        <w:rPr>
          <w:rFonts w:ascii="Times New Roman" w:hAnsi="Times New Roman" w:cs="Times New Roman"/>
        </w:rPr>
      </w:pPr>
      <w:r w:rsidRPr="00CA6FA0">
        <w:rPr>
          <w:rFonts w:ascii="Times New Roman" w:hAnsi="Times New Roman" w:cs="Times New Roman"/>
        </w:rPr>
        <w:t xml:space="preserve">La victime a porté plainte pour violences </w:t>
      </w:r>
      <w:r w:rsidRPr="008B46E5">
        <w:rPr>
          <w:rFonts w:ascii="Times New Roman" w:hAnsi="Times New Roman" w:cs="Times New Roman"/>
          <w:highlight w:val="yellow"/>
        </w:rPr>
        <w:t>graves</w:t>
      </w:r>
      <w:r w:rsidRPr="00CA6FA0">
        <w:rPr>
          <w:rFonts w:ascii="Times New Roman" w:hAnsi="Times New Roman" w:cs="Times New Roman"/>
        </w:rPr>
        <w:t xml:space="preserve"> à l’encontre de son compagnon commises entre 2010 et 2014. Une information est ouverte pour tentative de meurtre aggravé, viol et violences aggravés. </w:t>
      </w:r>
      <w:r>
        <w:rPr>
          <w:rFonts w:ascii="Times New Roman" w:hAnsi="Times New Roman" w:cs="Times New Roman"/>
        </w:rPr>
        <w:t xml:space="preserve">Le </w:t>
      </w:r>
      <w:r w:rsidRPr="008B46E5">
        <w:rPr>
          <w:rFonts w:ascii="Times New Roman" w:hAnsi="Times New Roman" w:cs="Times New Roman"/>
          <w:highlight w:val="yellow"/>
        </w:rPr>
        <w:t>coupable</w:t>
      </w:r>
      <w:r>
        <w:rPr>
          <w:rFonts w:ascii="Times New Roman" w:hAnsi="Times New Roman" w:cs="Times New Roman"/>
        </w:rPr>
        <w:t xml:space="preserve"> a été mis en examen pour l’ensemble des faits</w:t>
      </w:r>
      <w:r w:rsidRPr="000D142B">
        <w:rPr>
          <w:rFonts w:ascii="Times New Roman" w:hAnsi="Times New Roman" w:cs="Times New Roman"/>
        </w:rPr>
        <w:t xml:space="preserve">. </w:t>
      </w:r>
      <w:r w:rsidRPr="000D142B">
        <w:rPr>
          <w:rFonts w:ascii="Times New Roman" w:hAnsi="Times New Roman" w:cs="Times New Roman"/>
          <w:highlight w:val="yellow"/>
        </w:rPr>
        <w:t>À la fin</w:t>
      </w:r>
      <w:r w:rsidRPr="00CA6FA0">
        <w:rPr>
          <w:rFonts w:ascii="Times New Roman" w:hAnsi="Times New Roman" w:cs="Times New Roman"/>
        </w:rPr>
        <w:t xml:space="preserve"> de l’instruction, </w:t>
      </w:r>
      <w:r>
        <w:rPr>
          <w:rFonts w:ascii="Times New Roman" w:hAnsi="Times New Roman" w:cs="Times New Roman"/>
        </w:rPr>
        <w:t xml:space="preserve">le </w:t>
      </w:r>
      <w:r w:rsidRPr="008B46E5">
        <w:rPr>
          <w:rFonts w:ascii="Times New Roman" w:hAnsi="Times New Roman" w:cs="Times New Roman"/>
          <w:highlight w:val="yellow"/>
        </w:rPr>
        <w:t>magistrat</w:t>
      </w:r>
      <w:r>
        <w:rPr>
          <w:rFonts w:ascii="Times New Roman" w:hAnsi="Times New Roman" w:cs="Times New Roman"/>
        </w:rPr>
        <w:t xml:space="preserve"> </w:t>
      </w:r>
      <w:r w:rsidRPr="000D142B">
        <w:rPr>
          <w:rFonts w:ascii="Times New Roman" w:hAnsi="Times New Roman" w:cs="Times New Roman"/>
          <w:highlight w:val="yellow"/>
        </w:rPr>
        <w:t>a dit</w:t>
      </w:r>
      <w:r>
        <w:rPr>
          <w:rFonts w:ascii="Times New Roman" w:hAnsi="Times New Roman" w:cs="Times New Roman"/>
        </w:rPr>
        <w:t xml:space="preserve"> que dans le dossier on ne voyait pas de charges suffisantes qui montrent l’existence </w:t>
      </w:r>
      <w:r w:rsidRPr="00CA6FA0">
        <w:rPr>
          <w:rFonts w:ascii="Times New Roman" w:hAnsi="Times New Roman" w:cs="Times New Roman"/>
        </w:rPr>
        <w:t xml:space="preserve">d’une intention homicide du </w:t>
      </w:r>
      <w:r w:rsidRPr="008B46E5">
        <w:rPr>
          <w:rFonts w:ascii="Times New Roman" w:hAnsi="Times New Roman" w:cs="Times New Roman"/>
          <w:highlight w:val="yellow"/>
        </w:rPr>
        <w:t>coupable</w:t>
      </w:r>
      <w:r>
        <w:rPr>
          <w:rFonts w:ascii="Times New Roman" w:hAnsi="Times New Roman" w:cs="Times New Roman"/>
        </w:rPr>
        <w:t xml:space="preserve"> </w:t>
      </w:r>
      <w:r w:rsidRPr="00CA6FA0">
        <w:rPr>
          <w:rFonts w:ascii="Times New Roman" w:hAnsi="Times New Roman" w:cs="Times New Roman"/>
        </w:rPr>
        <w:t xml:space="preserve">et a requalifié les faits de tentative de meurtre en violences ayant entrainé une incapacité totale de travail supérieure à 8 jours avec usage d’une arme et sur concubin. Le </w:t>
      </w:r>
      <w:r w:rsidRPr="00886F08">
        <w:rPr>
          <w:rFonts w:ascii="Times New Roman" w:hAnsi="Times New Roman" w:cs="Times New Roman"/>
          <w:highlight w:val="yellow"/>
        </w:rPr>
        <w:t>juge répressif</w:t>
      </w:r>
      <w:r>
        <w:rPr>
          <w:rFonts w:ascii="Times New Roman" w:hAnsi="Times New Roman" w:cs="Times New Roman"/>
        </w:rPr>
        <w:t xml:space="preserve"> </w:t>
      </w:r>
      <w:r w:rsidRPr="00CA6FA0">
        <w:rPr>
          <w:rFonts w:ascii="Times New Roman" w:hAnsi="Times New Roman" w:cs="Times New Roman"/>
        </w:rPr>
        <w:t xml:space="preserve">constate aussi l’acquisition de la prescription pour les violences ayant eu lieu antérieurement au 13 septembre 2010 donc pour celles du 2 juillet 2010. </w:t>
      </w:r>
      <w:r>
        <w:rPr>
          <w:rFonts w:ascii="Times New Roman" w:hAnsi="Times New Roman" w:cs="Times New Roman"/>
        </w:rPr>
        <w:t xml:space="preserve">Il </w:t>
      </w:r>
      <w:r w:rsidRPr="008B46E5">
        <w:rPr>
          <w:rFonts w:ascii="Times New Roman" w:hAnsi="Times New Roman" w:cs="Times New Roman"/>
          <w:highlight w:val="yellow"/>
        </w:rPr>
        <w:t>énonce</w:t>
      </w:r>
      <w:r>
        <w:rPr>
          <w:rFonts w:ascii="Times New Roman" w:hAnsi="Times New Roman" w:cs="Times New Roman"/>
        </w:rPr>
        <w:t xml:space="preserve"> aussi un </w:t>
      </w:r>
      <w:r w:rsidRPr="00CA6FA0">
        <w:rPr>
          <w:rFonts w:ascii="Times New Roman" w:hAnsi="Times New Roman" w:cs="Times New Roman"/>
        </w:rPr>
        <w:t>non-lieu du chef de viols aggravés et renvoi</w:t>
      </w:r>
      <w:r>
        <w:rPr>
          <w:rFonts w:ascii="Times New Roman" w:hAnsi="Times New Roman" w:cs="Times New Roman"/>
        </w:rPr>
        <w:t>e</w:t>
      </w:r>
      <w:r w:rsidRPr="00CA6FA0">
        <w:rPr>
          <w:rFonts w:ascii="Times New Roman" w:hAnsi="Times New Roman" w:cs="Times New Roman"/>
        </w:rPr>
        <w:t xml:space="preserve"> </w:t>
      </w:r>
      <w:r>
        <w:rPr>
          <w:rFonts w:ascii="Times New Roman" w:hAnsi="Times New Roman" w:cs="Times New Roman"/>
        </w:rPr>
        <w:t xml:space="preserve">le </w:t>
      </w:r>
      <w:r w:rsidRPr="008B46E5">
        <w:rPr>
          <w:rFonts w:ascii="Times New Roman" w:hAnsi="Times New Roman" w:cs="Times New Roman"/>
          <w:highlight w:val="yellow"/>
        </w:rPr>
        <w:t>coupable</w:t>
      </w:r>
      <w:r>
        <w:rPr>
          <w:rFonts w:ascii="Times New Roman" w:hAnsi="Times New Roman" w:cs="Times New Roman"/>
        </w:rPr>
        <w:t xml:space="preserve"> devant </w:t>
      </w:r>
      <w:r w:rsidRPr="008B46E5">
        <w:rPr>
          <w:rFonts w:ascii="Times New Roman" w:hAnsi="Times New Roman" w:cs="Times New Roman"/>
          <w:highlight w:val="yellow"/>
        </w:rPr>
        <w:t>le tribunal pénal</w:t>
      </w:r>
      <w:r>
        <w:rPr>
          <w:rFonts w:ascii="Times New Roman" w:hAnsi="Times New Roman" w:cs="Times New Roman"/>
        </w:rPr>
        <w:t xml:space="preserve"> </w:t>
      </w:r>
      <w:r w:rsidRPr="00CA6FA0">
        <w:rPr>
          <w:rFonts w:ascii="Times New Roman" w:hAnsi="Times New Roman" w:cs="Times New Roman"/>
        </w:rPr>
        <w:t xml:space="preserve">pour les faits de violences </w:t>
      </w:r>
      <w:r w:rsidRPr="008B46E5">
        <w:rPr>
          <w:rFonts w:ascii="Times New Roman" w:hAnsi="Times New Roman" w:cs="Times New Roman"/>
          <w:highlight w:val="yellow"/>
        </w:rPr>
        <w:t>graves</w:t>
      </w:r>
      <w:r w:rsidRPr="00CA6FA0">
        <w:rPr>
          <w:rFonts w:ascii="Times New Roman" w:hAnsi="Times New Roman" w:cs="Times New Roman"/>
        </w:rPr>
        <w:t xml:space="preserve"> commises entre le 3 février 2011 et le 20 janvier 2012 et entre le 29 novembre 2012 et le 3 février 2014. </w:t>
      </w:r>
    </w:p>
    <w:p w14:paraId="0851CB6B" w14:textId="77777777" w:rsidR="00206F58" w:rsidRDefault="00206F58" w:rsidP="00206F58">
      <w:pPr>
        <w:spacing w:line="276" w:lineRule="auto"/>
        <w:jc w:val="both"/>
        <w:rPr>
          <w:rFonts w:ascii="Times New Roman" w:hAnsi="Times New Roman" w:cs="Times New Roman"/>
        </w:rPr>
      </w:pPr>
      <w:r w:rsidRPr="00CA6FA0">
        <w:rPr>
          <w:rFonts w:ascii="Times New Roman" w:hAnsi="Times New Roman" w:cs="Times New Roman"/>
        </w:rPr>
        <w:t xml:space="preserve">La victime se constitue partie civile et </w:t>
      </w:r>
      <w:r w:rsidRPr="008B46E5">
        <w:rPr>
          <w:rFonts w:ascii="Times New Roman" w:hAnsi="Times New Roman" w:cs="Times New Roman"/>
          <w:highlight w:val="yellow"/>
        </w:rPr>
        <w:t>fait appel</w:t>
      </w:r>
      <w:r w:rsidRPr="00CA6FA0">
        <w:rPr>
          <w:rFonts w:ascii="Times New Roman" w:hAnsi="Times New Roman" w:cs="Times New Roman"/>
        </w:rPr>
        <w:t xml:space="preserve"> de </w:t>
      </w:r>
      <w:r w:rsidRPr="008B46E5">
        <w:rPr>
          <w:rFonts w:ascii="Times New Roman" w:hAnsi="Times New Roman" w:cs="Times New Roman"/>
          <w:highlight w:val="yellow"/>
        </w:rPr>
        <w:t>l’arrêt</w:t>
      </w:r>
      <w:r>
        <w:rPr>
          <w:rFonts w:ascii="Times New Roman" w:hAnsi="Times New Roman" w:cs="Times New Roman"/>
        </w:rPr>
        <w:t xml:space="preserve"> </w:t>
      </w:r>
      <w:r w:rsidRPr="00CA6FA0">
        <w:rPr>
          <w:rFonts w:ascii="Times New Roman" w:hAnsi="Times New Roman" w:cs="Times New Roman"/>
        </w:rPr>
        <w:t xml:space="preserve">rendu. </w:t>
      </w:r>
      <w:r>
        <w:rPr>
          <w:rFonts w:ascii="Times New Roman" w:hAnsi="Times New Roman" w:cs="Times New Roman"/>
        </w:rPr>
        <w:t xml:space="preserve">La </w:t>
      </w:r>
      <w:r w:rsidRPr="00886F08">
        <w:rPr>
          <w:rFonts w:ascii="Times New Roman" w:hAnsi="Times New Roman" w:cs="Times New Roman"/>
          <w:highlight w:val="yellow"/>
        </w:rPr>
        <w:t>cour d’appel de Rennes</w:t>
      </w:r>
      <w:r>
        <w:rPr>
          <w:rFonts w:ascii="Times New Roman" w:hAnsi="Times New Roman" w:cs="Times New Roman"/>
        </w:rPr>
        <w:t xml:space="preserve"> dit </w:t>
      </w:r>
      <w:r w:rsidRPr="000D142B">
        <w:rPr>
          <w:rFonts w:ascii="Times New Roman" w:hAnsi="Times New Roman" w:cs="Times New Roman"/>
          <w:highlight w:val="yellow"/>
        </w:rPr>
        <w:t>être d’accord</w:t>
      </w:r>
      <w:r>
        <w:rPr>
          <w:rFonts w:ascii="Times New Roman" w:hAnsi="Times New Roman" w:cs="Times New Roman"/>
        </w:rPr>
        <w:t xml:space="preserve"> avec l’ordonnance du juge d’instruction dans une décision du 23 mars 2018. </w:t>
      </w:r>
    </w:p>
    <w:p w14:paraId="44F574E7" w14:textId="77777777" w:rsidR="00206F58" w:rsidRPr="00CA6FA0" w:rsidRDefault="00206F58" w:rsidP="00206F58">
      <w:pPr>
        <w:spacing w:line="276" w:lineRule="auto"/>
        <w:jc w:val="both"/>
        <w:rPr>
          <w:rFonts w:ascii="Times New Roman" w:hAnsi="Times New Roman" w:cs="Times New Roman"/>
        </w:rPr>
      </w:pPr>
      <w:r w:rsidRPr="00CA6FA0">
        <w:rPr>
          <w:rFonts w:ascii="Times New Roman" w:hAnsi="Times New Roman" w:cs="Times New Roman"/>
        </w:rPr>
        <w:t xml:space="preserve">Pour requalifier les faits de tentative de meurtre aggravé en violences aggravées, elle </w:t>
      </w:r>
      <w:r w:rsidRPr="000D142B">
        <w:rPr>
          <w:rFonts w:ascii="Times New Roman" w:hAnsi="Times New Roman" w:cs="Times New Roman"/>
          <w:highlight w:val="yellow"/>
        </w:rPr>
        <w:t>dit,</w:t>
      </w:r>
      <w:r w:rsidRPr="00CA6FA0">
        <w:rPr>
          <w:rFonts w:ascii="Times New Roman" w:hAnsi="Times New Roman" w:cs="Times New Roman"/>
        </w:rPr>
        <w:t xml:space="preserve"> en premier lieu l’extinction de l’action publique en raison de la prescription. Puis, en second lieu, elle relève un acte positif de violence et indiquer qu’au vu de la quantité de liquide projetée, la victime aurait pu décéder. Elle énonce également que ces actes ont eu lieu dans un climat de violences et de menaces et que l’acte avait été commis pour faire souffrir la victime voire lui occasionner un préjudice esthétique définitif. Elle relève que </w:t>
      </w:r>
      <w:r w:rsidRPr="00886F08">
        <w:rPr>
          <w:rFonts w:ascii="Times New Roman" w:hAnsi="Times New Roman" w:cs="Times New Roman"/>
          <w:highlight w:val="yellow"/>
        </w:rPr>
        <w:t>le prévenu</w:t>
      </w:r>
      <w:r>
        <w:rPr>
          <w:rFonts w:ascii="Times New Roman" w:hAnsi="Times New Roman" w:cs="Times New Roman"/>
        </w:rPr>
        <w:t xml:space="preserve"> </w:t>
      </w:r>
      <w:r w:rsidRPr="00CA6FA0">
        <w:rPr>
          <w:rFonts w:ascii="Times New Roman" w:hAnsi="Times New Roman" w:cs="Times New Roman"/>
        </w:rPr>
        <w:t xml:space="preserve">ne souhaitait pas que sa compagne décède puisqu’il lui avait retiré son pyjama et que les hésitations avant l’appel des secours montraient qu’il voulait faire souffrir la victime et qu’il ne souhaitait pas faire face aux conséquences de ses actes, dont il avait parfaitement conscience. En outre, </w:t>
      </w:r>
      <w:r w:rsidRPr="00886F08">
        <w:rPr>
          <w:rFonts w:ascii="Times New Roman" w:hAnsi="Times New Roman" w:cs="Times New Roman"/>
          <w:highlight w:val="yellow"/>
        </w:rPr>
        <w:t>le mis en cause</w:t>
      </w:r>
      <w:r>
        <w:rPr>
          <w:rFonts w:ascii="Times New Roman" w:hAnsi="Times New Roman" w:cs="Times New Roman"/>
        </w:rPr>
        <w:t xml:space="preserve"> </w:t>
      </w:r>
      <w:r w:rsidRPr="00CA6FA0">
        <w:rPr>
          <w:rFonts w:ascii="Times New Roman" w:hAnsi="Times New Roman" w:cs="Times New Roman"/>
        </w:rPr>
        <w:t xml:space="preserve">n’a pas exprimé le souhait de la mort de sa compagne. Pour ces raisons, </w:t>
      </w:r>
      <w:r w:rsidRPr="00886F08">
        <w:rPr>
          <w:rFonts w:ascii="Times New Roman" w:hAnsi="Times New Roman" w:cs="Times New Roman"/>
          <w:highlight w:val="yellow"/>
        </w:rPr>
        <w:t>la cour d’appel</w:t>
      </w:r>
      <w:r>
        <w:rPr>
          <w:rFonts w:ascii="Times New Roman" w:hAnsi="Times New Roman" w:cs="Times New Roman"/>
        </w:rPr>
        <w:t xml:space="preserve"> </w:t>
      </w:r>
      <w:r w:rsidRPr="00CA6FA0">
        <w:rPr>
          <w:rFonts w:ascii="Times New Roman" w:hAnsi="Times New Roman" w:cs="Times New Roman"/>
        </w:rPr>
        <w:t xml:space="preserve">estime qu’il n’y a pas de charges suffisantes contre le mis en examen. La commission de cet acte de violence ne peut suffire à caractériser l’intention de donner la mort à la victime. </w:t>
      </w:r>
    </w:p>
    <w:p w14:paraId="1792A221" w14:textId="77777777" w:rsidR="00206F58" w:rsidRDefault="00206F58" w:rsidP="00206F58">
      <w:pPr>
        <w:spacing w:line="276" w:lineRule="auto"/>
        <w:jc w:val="both"/>
        <w:rPr>
          <w:rFonts w:ascii="Times New Roman" w:hAnsi="Times New Roman" w:cs="Times New Roman"/>
        </w:rPr>
      </w:pPr>
      <w:r w:rsidRPr="00CA6FA0">
        <w:rPr>
          <w:rFonts w:ascii="Times New Roman" w:hAnsi="Times New Roman" w:cs="Times New Roman"/>
        </w:rPr>
        <w:t>L</w:t>
      </w:r>
      <w:r>
        <w:rPr>
          <w:rFonts w:ascii="Times New Roman" w:hAnsi="Times New Roman" w:cs="Times New Roman"/>
        </w:rPr>
        <w:t xml:space="preserve">a </w:t>
      </w:r>
      <w:r w:rsidRPr="00886F08">
        <w:rPr>
          <w:rFonts w:ascii="Times New Roman" w:hAnsi="Times New Roman" w:cs="Times New Roman"/>
          <w:highlight w:val="yellow"/>
        </w:rPr>
        <w:t>femme</w:t>
      </w:r>
      <w:r>
        <w:rPr>
          <w:rFonts w:ascii="Times New Roman" w:hAnsi="Times New Roman" w:cs="Times New Roman"/>
        </w:rPr>
        <w:t xml:space="preserve"> se </w:t>
      </w:r>
      <w:r w:rsidRPr="00CA6FA0">
        <w:rPr>
          <w:rFonts w:ascii="Times New Roman" w:hAnsi="Times New Roman" w:cs="Times New Roman"/>
        </w:rPr>
        <w:t>pourvoi</w:t>
      </w:r>
      <w:r>
        <w:rPr>
          <w:rFonts w:ascii="Times New Roman" w:hAnsi="Times New Roman" w:cs="Times New Roman"/>
        </w:rPr>
        <w:t>t</w:t>
      </w:r>
      <w:r w:rsidRPr="00CA6FA0">
        <w:rPr>
          <w:rFonts w:ascii="Times New Roman" w:hAnsi="Times New Roman" w:cs="Times New Roman"/>
        </w:rPr>
        <w:t xml:space="preserve"> en cassation. </w:t>
      </w:r>
    </w:p>
    <w:p w14:paraId="6F628827" w14:textId="77777777" w:rsidR="00206F58" w:rsidRPr="00CA6FA0" w:rsidRDefault="00206F58" w:rsidP="00206F58">
      <w:pPr>
        <w:spacing w:line="276" w:lineRule="auto"/>
        <w:jc w:val="both"/>
        <w:rPr>
          <w:rFonts w:ascii="Times New Roman" w:hAnsi="Times New Roman" w:cs="Times New Roman"/>
        </w:rPr>
      </w:pPr>
    </w:p>
    <w:p w14:paraId="320E3AE7" w14:textId="77777777" w:rsidR="00206F58" w:rsidRPr="008B46E5" w:rsidRDefault="00206F58" w:rsidP="00206F58">
      <w:pPr>
        <w:spacing w:line="276" w:lineRule="auto"/>
        <w:jc w:val="both"/>
        <w:rPr>
          <w:rFonts w:ascii="Times New Roman" w:hAnsi="Times New Roman" w:cs="Times New Roman"/>
          <w:color w:val="000000" w:themeColor="text1"/>
        </w:rPr>
      </w:pPr>
      <w:r w:rsidRPr="008B46E5">
        <w:rPr>
          <w:rFonts w:ascii="Times New Roman" w:hAnsi="Times New Roman" w:cs="Times New Roman"/>
          <w:color w:val="000000" w:themeColor="text1"/>
        </w:rPr>
        <w:t xml:space="preserve">La </w:t>
      </w:r>
      <w:r w:rsidRPr="00886F08">
        <w:rPr>
          <w:rFonts w:ascii="Times New Roman" w:hAnsi="Times New Roman" w:cs="Times New Roman"/>
          <w:color w:val="000000" w:themeColor="text1"/>
          <w:highlight w:val="yellow"/>
        </w:rPr>
        <w:t>Cour de cassation</w:t>
      </w:r>
      <w:r w:rsidRPr="008B46E5">
        <w:rPr>
          <w:rFonts w:ascii="Times New Roman" w:hAnsi="Times New Roman" w:cs="Times New Roman"/>
          <w:color w:val="000000" w:themeColor="text1"/>
        </w:rPr>
        <w:t xml:space="preserve"> devait se prononcer sur la régularité de l’ordonnance de renvoi devant un tribunal correctionnel. Plus précisément, la Cour de cassation devait s’interroger sur l’intention homicide en matière de tentative. </w:t>
      </w:r>
    </w:p>
    <w:p w14:paraId="18580873" w14:textId="77777777" w:rsidR="00206F58" w:rsidRDefault="00206F58" w:rsidP="00206F58">
      <w:pPr>
        <w:spacing w:line="276" w:lineRule="auto"/>
        <w:jc w:val="both"/>
        <w:rPr>
          <w:rFonts w:ascii="Times New Roman" w:hAnsi="Times New Roman" w:cs="Times New Roman"/>
        </w:rPr>
      </w:pPr>
      <w:r w:rsidRPr="00CA6FA0">
        <w:rPr>
          <w:rFonts w:ascii="Times New Roman" w:hAnsi="Times New Roman" w:cs="Times New Roman"/>
        </w:rPr>
        <w:lastRenderedPageBreak/>
        <w:t xml:space="preserve">La Cour de cassation casse et annule </w:t>
      </w:r>
      <w:r w:rsidRPr="008B46E5">
        <w:rPr>
          <w:rFonts w:ascii="Times New Roman" w:hAnsi="Times New Roman" w:cs="Times New Roman"/>
          <w:highlight w:val="yellow"/>
        </w:rPr>
        <w:t>la décision</w:t>
      </w:r>
      <w:r w:rsidRPr="00CA6FA0">
        <w:rPr>
          <w:rFonts w:ascii="Times New Roman" w:hAnsi="Times New Roman" w:cs="Times New Roman"/>
        </w:rPr>
        <w:t xml:space="preserve"> rendu</w:t>
      </w:r>
      <w:r>
        <w:rPr>
          <w:rFonts w:ascii="Times New Roman" w:hAnsi="Times New Roman" w:cs="Times New Roman"/>
        </w:rPr>
        <w:t>e</w:t>
      </w:r>
      <w:r w:rsidRPr="00CA6FA0">
        <w:rPr>
          <w:rFonts w:ascii="Times New Roman" w:hAnsi="Times New Roman" w:cs="Times New Roman"/>
        </w:rPr>
        <w:t xml:space="preserve"> par</w:t>
      </w:r>
      <w:r>
        <w:rPr>
          <w:rFonts w:ascii="Times New Roman" w:hAnsi="Times New Roman" w:cs="Times New Roman"/>
        </w:rPr>
        <w:t xml:space="preserve"> </w:t>
      </w:r>
      <w:r w:rsidRPr="00886F08">
        <w:rPr>
          <w:rFonts w:ascii="Times New Roman" w:hAnsi="Times New Roman" w:cs="Times New Roman"/>
          <w:highlight w:val="yellow"/>
        </w:rPr>
        <w:t>la cour d’appe</w:t>
      </w:r>
      <w:r>
        <w:rPr>
          <w:rFonts w:ascii="Times New Roman" w:hAnsi="Times New Roman" w:cs="Times New Roman"/>
        </w:rPr>
        <w:t xml:space="preserve">l </w:t>
      </w:r>
      <w:r w:rsidRPr="00CA6FA0">
        <w:rPr>
          <w:rFonts w:ascii="Times New Roman" w:hAnsi="Times New Roman" w:cs="Times New Roman"/>
        </w:rPr>
        <w:t>de Rennes le 23 mars 2018.</w:t>
      </w:r>
      <w:r>
        <w:rPr>
          <w:rFonts w:ascii="Times New Roman" w:hAnsi="Times New Roman" w:cs="Times New Roman"/>
        </w:rPr>
        <w:t xml:space="preserve"> </w:t>
      </w:r>
      <w:r w:rsidRPr="00CA6FA0">
        <w:rPr>
          <w:rFonts w:ascii="Times New Roman" w:hAnsi="Times New Roman" w:cs="Times New Roman"/>
        </w:rPr>
        <w:t xml:space="preserve">Se fondant sur l’article 593 du code de procédure pénale, </w:t>
      </w:r>
      <w:r>
        <w:rPr>
          <w:rFonts w:ascii="Times New Roman" w:hAnsi="Times New Roman" w:cs="Times New Roman"/>
        </w:rPr>
        <w:t xml:space="preserve">la chambre criminelle de la Cour de cassation </w:t>
      </w:r>
      <w:r>
        <w:rPr>
          <w:rFonts w:ascii="Times New Roman" w:hAnsi="Times New Roman" w:cs="Times New Roman"/>
          <w:highlight w:val="yellow"/>
        </w:rPr>
        <w:t xml:space="preserve">relève </w:t>
      </w:r>
      <w:r w:rsidRPr="000D142B">
        <w:rPr>
          <w:rFonts w:ascii="Times New Roman" w:hAnsi="Times New Roman" w:cs="Times New Roman"/>
          <w:highlight w:val="yellow"/>
        </w:rPr>
        <w:t>deux choses</w:t>
      </w:r>
      <w:r>
        <w:rPr>
          <w:rFonts w:ascii="Times New Roman" w:hAnsi="Times New Roman" w:cs="Times New Roman"/>
        </w:rPr>
        <w:t xml:space="preserve">. En premier lieu, la chambre de l’instruction n’a pas justifié sa </w:t>
      </w:r>
      <w:r w:rsidRPr="000D142B">
        <w:rPr>
          <w:rFonts w:ascii="Times New Roman" w:hAnsi="Times New Roman" w:cs="Times New Roman"/>
          <w:highlight w:val="yellow"/>
        </w:rPr>
        <w:t>décision.</w:t>
      </w:r>
      <w:r>
        <w:rPr>
          <w:rFonts w:ascii="Times New Roman" w:hAnsi="Times New Roman" w:cs="Times New Roman"/>
        </w:rPr>
        <w:t xml:space="preserve"> Ensuite, le </w:t>
      </w:r>
      <w:r w:rsidRPr="00CA6FA0">
        <w:rPr>
          <w:rFonts w:ascii="Times New Roman" w:hAnsi="Times New Roman" w:cs="Times New Roman"/>
        </w:rPr>
        <w:t xml:space="preserve">fait de projeter plusieurs fois un produit inflammable et d’y mettre le feu délibérément caractérise une intention homicide. Après avoir caractérisé l’intention homicide, la Cour énonce que le geste de secours du compagnon ne pouvait être perçu comme un désistement volontaire mais un repentir actif. </w:t>
      </w:r>
    </w:p>
    <w:p w14:paraId="0448D6A8" w14:textId="77777777" w:rsidR="00206F58" w:rsidRDefault="00206F58" w:rsidP="00206F58">
      <w:pPr>
        <w:rPr>
          <w:rFonts w:ascii="Times New Roman" w:hAnsi="Times New Roman" w:cs="Times New Roman"/>
        </w:rPr>
      </w:pPr>
    </w:p>
    <w:p w14:paraId="67017E36" w14:textId="77777777" w:rsidR="0034299D" w:rsidRDefault="0034299D"/>
    <w:sectPr w:rsidR="00342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58"/>
    <w:rsid w:val="00206F58"/>
    <w:rsid w:val="0034299D"/>
    <w:rsid w:val="005979A8"/>
    <w:rsid w:val="00C53C43"/>
    <w:rsid w:val="00CB3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0CA5FE"/>
  <w15:chartTrackingRefBased/>
  <w15:docId w15:val="{FF6B8A9D-8BF0-4542-9645-2D9DE212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58"/>
  </w:style>
  <w:style w:type="paragraph" w:styleId="Titre1">
    <w:name w:val="heading 1"/>
    <w:basedOn w:val="Normal"/>
    <w:next w:val="Normal"/>
    <w:link w:val="Titre1Car"/>
    <w:uiPriority w:val="9"/>
    <w:qFormat/>
    <w:rsid w:val="00206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06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06F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06F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06F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06F5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6F5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6F5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6F5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F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6F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6F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06F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06F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06F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6F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6F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6F58"/>
    <w:rPr>
      <w:rFonts w:eastAsiaTheme="majorEastAsia" w:cstheme="majorBidi"/>
      <w:color w:val="272727" w:themeColor="text1" w:themeTint="D8"/>
    </w:rPr>
  </w:style>
  <w:style w:type="paragraph" w:styleId="Titre">
    <w:name w:val="Title"/>
    <w:basedOn w:val="Normal"/>
    <w:next w:val="Normal"/>
    <w:link w:val="TitreCar"/>
    <w:uiPriority w:val="10"/>
    <w:qFormat/>
    <w:rsid w:val="00206F5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6F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6F5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6F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6F5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06F58"/>
    <w:rPr>
      <w:i/>
      <w:iCs/>
      <w:color w:val="404040" w:themeColor="text1" w:themeTint="BF"/>
    </w:rPr>
  </w:style>
  <w:style w:type="paragraph" w:styleId="Paragraphedeliste">
    <w:name w:val="List Paragraph"/>
    <w:basedOn w:val="Normal"/>
    <w:uiPriority w:val="34"/>
    <w:qFormat/>
    <w:rsid w:val="00206F58"/>
    <w:pPr>
      <w:ind w:left="720"/>
      <w:contextualSpacing/>
    </w:pPr>
  </w:style>
  <w:style w:type="character" w:styleId="Accentuationintense">
    <w:name w:val="Intense Emphasis"/>
    <w:basedOn w:val="Policepardfaut"/>
    <w:uiPriority w:val="21"/>
    <w:qFormat/>
    <w:rsid w:val="00206F58"/>
    <w:rPr>
      <w:i/>
      <w:iCs/>
      <w:color w:val="0F4761" w:themeColor="accent1" w:themeShade="BF"/>
    </w:rPr>
  </w:style>
  <w:style w:type="paragraph" w:styleId="Citationintense">
    <w:name w:val="Intense Quote"/>
    <w:basedOn w:val="Normal"/>
    <w:next w:val="Normal"/>
    <w:link w:val="CitationintenseCar"/>
    <w:uiPriority w:val="30"/>
    <w:qFormat/>
    <w:rsid w:val="00206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06F58"/>
    <w:rPr>
      <w:i/>
      <w:iCs/>
      <w:color w:val="0F4761" w:themeColor="accent1" w:themeShade="BF"/>
    </w:rPr>
  </w:style>
  <w:style w:type="character" w:styleId="Rfrenceintense">
    <w:name w:val="Intense Reference"/>
    <w:basedOn w:val="Policepardfaut"/>
    <w:uiPriority w:val="32"/>
    <w:qFormat/>
    <w:rsid w:val="00206F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3371</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CARTIER</dc:creator>
  <cp:keywords/>
  <dc:description/>
  <cp:lastModifiedBy>Elodie CARTIER</cp:lastModifiedBy>
  <cp:revision>1</cp:revision>
  <dcterms:created xsi:type="dcterms:W3CDTF">2024-08-24T14:21:00Z</dcterms:created>
  <dcterms:modified xsi:type="dcterms:W3CDTF">2024-08-24T14:22:00Z</dcterms:modified>
</cp:coreProperties>
</file>